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A7A4" w14:textId="7B00C78F" w:rsidR="00500CCD" w:rsidRPr="00500CCD" w:rsidRDefault="00B645DA" w:rsidP="00500CCD">
      <w:pPr>
        <w:spacing w:after="7"/>
        <w:jc w:val="both"/>
        <w:rPr>
          <w:rFonts w:ascii="Times New Roman" w:eastAsia="Times New Roman" w:hAnsi="Times New Roman" w:cs="Times New Roman"/>
          <w:color w:val="365F91"/>
          <w:sz w:val="28"/>
          <w:lang w:eastAsia="en-CA"/>
        </w:rPr>
      </w:pPr>
      <w:r>
        <w:rPr>
          <w:rFonts w:ascii="Times New Roman" w:eastAsia="Times New Roman" w:hAnsi="Times New Roman" w:cs="Times New Roman"/>
          <w:color w:val="365F91"/>
          <w:sz w:val="28"/>
          <w:lang w:eastAsia="en-CA"/>
        </w:rPr>
        <w:t>R</w:t>
      </w:r>
      <w:r w:rsidRPr="00B645DA">
        <w:rPr>
          <w:rFonts w:ascii="Times New Roman" w:eastAsia="Times New Roman" w:hAnsi="Times New Roman" w:cs="Times New Roman"/>
          <w:color w:val="365F91"/>
          <w:sz w:val="28"/>
          <w:lang w:eastAsia="en-CA"/>
        </w:rPr>
        <w:t xml:space="preserve">MHA </w:t>
      </w:r>
      <w:r w:rsidR="008646EE">
        <w:rPr>
          <w:rFonts w:ascii="Times New Roman" w:eastAsia="Times New Roman" w:hAnsi="Times New Roman" w:cs="Times New Roman"/>
          <w:color w:val="365F91"/>
          <w:sz w:val="28"/>
          <w:lang w:eastAsia="en-CA"/>
        </w:rPr>
        <w:t xml:space="preserve">Fundraising Policy </w:t>
      </w:r>
    </w:p>
    <w:p w14:paraId="0A5C2F33" w14:textId="77777777" w:rsidR="00B645DA" w:rsidRDefault="00B645DA" w:rsidP="00B645DA">
      <w:pPr>
        <w:keepNext/>
        <w:keepLines/>
        <w:spacing w:after="7"/>
        <w:jc w:val="both"/>
        <w:outlineLvl w:val="0"/>
        <w:rPr>
          <w:rFonts w:ascii="Times New Roman" w:eastAsia="Times New Roman" w:hAnsi="Times New Roman" w:cs="Times New Roman"/>
          <w:color w:val="365F91"/>
          <w:sz w:val="28"/>
          <w:lang w:eastAsia="en-CA"/>
        </w:rPr>
      </w:pPr>
    </w:p>
    <w:p w14:paraId="0D8B6B4E" w14:textId="77777777" w:rsidR="00B645DA" w:rsidRPr="00B645DA" w:rsidRDefault="00B02F6C" w:rsidP="00B645DA">
      <w:pPr>
        <w:keepNext/>
        <w:keepLines/>
        <w:spacing w:after="7"/>
        <w:jc w:val="both"/>
        <w:outlineLvl w:val="0"/>
        <w:rPr>
          <w:rFonts w:ascii="Times New Roman" w:eastAsia="Times New Roman" w:hAnsi="Times New Roman" w:cs="Times New Roman"/>
          <w:color w:val="365F91"/>
          <w:sz w:val="28"/>
          <w:lang w:eastAsia="en-CA"/>
        </w:rPr>
      </w:pPr>
      <w:r>
        <w:rPr>
          <w:rFonts w:ascii="Times New Roman" w:eastAsia="Times New Roman" w:hAnsi="Times New Roman" w:cs="Times New Roman"/>
          <w:color w:val="365F91"/>
          <w:sz w:val="28"/>
          <w:lang w:eastAsia="en-CA"/>
        </w:rPr>
        <w:pict w14:anchorId="15394BF7">
          <v:rect id="_x0000_i1025" style="width:0;height:1.5pt" o:hralign="center" o:hrstd="t" o:hr="t" fillcolor="#a0a0a0" stroked="f"/>
        </w:pict>
      </w:r>
    </w:p>
    <w:p w14:paraId="38A05685" w14:textId="77777777" w:rsidR="008C61D4" w:rsidRDefault="008C61D4" w:rsidP="008C61D4">
      <w:pPr>
        <w:pStyle w:val="NoSpacing"/>
      </w:pPr>
    </w:p>
    <w:p w14:paraId="7A23F538" w14:textId="77777777" w:rsidR="008C61D4" w:rsidRDefault="008C61D4" w:rsidP="008C61D4">
      <w:pPr>
        <w:pStyle w:val="NoSpacing"/>
      </w:pPr>
    </w:p>
    <w:p w14:paraId="50835B6E" w14:textId="77777777" w:rsidR="00960469" w:rsidRPr="00960469" w:rsidRDefault="00960469" w:rsidP="00960469">
      <w:pPr>
        <w:pStyle w:val="NoSpacing"/>
        <w:rPr>
          <w:rFonts w:ascii="Times New Roman" w:hAnsi="Times New Roman" w:cs="Times New Roman"/>
        </w:rPr>
      </w:pPr>
    </w:p>
    <w:p w14:paraId="6A362173" w14:textId="77777777" w:rsidR="008646EE" w:rsidRPr="008646EE" w:rsidRDefault="008646EE" w:rsidP="008646EE">
      <w:pPr>
        <w:spacing w:after="200" w:line="240" w:lineRule="auto"/>
        <w:jc w:val="both"/>
        <w:rPr>
          <w:rFonts w:ascii="Times New Roman" w:eastAsia="Times New Roman" w:hAnsi="Times New Roman" w:cs="Times New Roman"/>
          <w:sz w:val="24"/>
          <w:szCs w:val="24"/>
          <w:lang w:val="en-US"/>
        </w:rPr>
      </w:pPr>
      <w:r w:rsidRPr="008646EE">
        <w:rPr>
          <w:rFonts w:ascii="Calibri" w:eastAsia="Times New Roman" w:hAnsi="Calibri" w:cs="Calibri"/>
          <w:b/>
          <w:bCs/>
          <w:i/>
          <w:iCs/>
          <w:color w:val="000000"/>
          <w:sz w:val="28"/>
          <w:szCs w:val="28"/>
          <w:u w:val="single"/>
          <w:lang w:val="en-US"/>
        </w:rPr>
        <w:t>Introduction:</w:t>
      </w:r>
    </w:p>
    <w:p w14:paraId="39AE1AA2" w14:textId="77777777" w:rsidR="008646EE" w:rsidRPr="008646EE" w:rsidRDefault="008646EE" w:rsidP="008646EE">
      <w:pPr>
        <w:spacing w:after="200" w:line="240" w:lineRule="auto"/>
        <w:jc w:val="both"/>
        <w:rPr>
          <w:rFonts w:ascii="Times New Roman" w:eastAsia="Times New Roman" w:hAnsi="Times New Roman" w:cs="Times New Roman"/>
          <w:sz w:val="24"/>
          <w:szCs w:val="24"/>
          <w:lang w:val="en-US"/>
        </w:rPr>
      </w:pPr>
      <w:r w:rsidRPr="008646EE">
        <w:rPr>
          <w:rFonts w:ascii="Calibri" w:eastAsia="Times New Roman" w:hAnsi="Calibri" w:cs="Calibri"/>
          <w:color w:val="000000"/>
          <w:sz w:val="24"/>
          <w:szCs w:val="24"/>
          <w:lang w:val="en-US"/>
        </w:rPr>
        <w:t>The Renfrew Minor Hockey Association (RMHA) conducts various fundraising initiatives to keep registration fees as low as possible. As the proceeds of fundraising are shared across the membership, it is equitable to have all members participate in the fundraising activities of the Association. It is also important that fundraising efforts of the Association and its teams are coordinated through the Executive of the Association.</w:t>
      </w:r>
    </w:p>
    <w:p w14:paraId="67409B3B" w14:textId="77777777" w:rsidR="008646EE" w:rsidRPr="008646EE" w:rsidRDefault="008646EE" w:rsidP="008646EE">
      <w:pPr>
        <w:spacing w:after="0" w:line="240" w:lineRule="auto"/>
        <w:rPr>
          <w:rFonts w:ascii="Times New Roman" w:eastAsia="Times New Roman" w:hAnsi="Times New Roman" w:cs="Times New Roman"/>
          <w:sz w:val="24"/>
          <w:szCs w:val="24"/>
          <w:lang w:val="en-US"/>
        </w:rPr>
      </w:pPr>
    </w:p>
    <w:p w14:paraId="3490133B" w14:textId="77777777" w:rsidR="008646EE" w:rsidRPr="008646EE" w:rsidRDefault="008646EE" w:rsidP="008646EE">
      <w:pPr>
        <w:spacing w:after="200" w:line="240" w:lineRule="auto"/>
        <w:jc w:val="both"/>
        <w:rPr>
          <w:rFonts w:ascii="Times New Roman" w:eastAsia="Times New Roman" w:hAnsi="Times New Roman" w:cs="Times New Roman"/>
          <w:sz w:val="24"/>
          <w:szCs w:val="24"/>
          <w:lang w:val="en-US"/>
        </w:rPr>
      </w:pPr>
      <w:r w:rsidRPr="008646EE">
        <w:rPr>
          <w:rFonts w:ascii="Calibri" w:eastAsia="Times New Roman" w:hAnsi="Calibri" w:cs="Calibri"/>
          <w:b/>
          <w:bCs/>
          <w:i/>
          <w:iCs/>
          <w:color w:val="000000"/>
          <w:sz w:val="28"/>
          <w:szCs w:val="28"/>
          <w:u w:val="single"/>
          <w:lang w:val="en-US"/>
        </w:rPr>
        <w:t>Purpose:</w:t>
      </w:r>
    </w:p>
    <w:p w14:paraId="163E8E63" w14:textId="77777777" w:rsidR="008646EE" w:rsidRPr="008646EE" w:rsidRDefault="008646EE" w:rsidP="008646EE">
      <w:pPr>
        <w:spacing w:after="200" w:line="240" w:lineRule="auto"/>
        <w:jc w:val="both"/>
        <w:rPr>
          <w:rFonts w:ascii="Times New Roman" w:eastAsia="Times New Roman" w:hAnsi="Times New Roman" w:cs="Times New Roman"/>
          <w:sz w:val="24"/>
          <w:szCs w:val="24"/>
          <w:lang w:val="en-US"/>
        </w:rPr>
      </w:pPr>
      <w:r w:rsidRPr="008646EE">
        <w:rPr>
          <w:rFonts w:ascii="Calibri" w:eastAsia="Times New Roman" w:hAnsi="Calibri" w:cs="Calibri"/>
          <w:color w:val="000000"/>
          <w:sz w:val="24"/>
          <w:szCs w:val="24"/>
          <w:lang w:val="en-US"/>
        </w:rPr>
        <w:t>RMHA continues to keep registration fees as low as possible to increase accessibility for all children and youth to play organized hockey. Prior to the start of each season the RMHA Executive will determine what fundraising efforts will be pursued. All members are expected to participate in RMHA fundraising efforts. At registration, members may opt out of participating in fundraising activities by paying a pre-determined fee (basically an increased registration fee) as established by the RMHA Executive.</w:t>
      </w:r>
    </w:p>
    <w:p w14:paraId="78E9182B" w14:textId="77777777" w:rsidR="008646EE" w:rsidRPr="008646EE" w:rsidRDefault="008646EE" w:rsidP="008646EE">
      <w:pPr>
        <w:spacing w:after="200" w:line="240" w:lineRule="auto"/>
        <w:jc w:val="both"/>
        <w:rPr>
          <w:rFonts w:ascii="Times New Roman" w:eastAsia="Times New Roman" w:hAnsi="Times New Roman" w:cs="Times New Roman"/>
          <w:sz w:val="24"/>
          <w:szCs w:val="24"/>
          <w:lang w:val="en-US"/>
        </w:rPr>
      </w:pPr>
      <w:r w:rsidRPr="008646EE">
        <w:rPr>
          <w:rFonts w:ascii="Calibri" w:eastAsia="Times New Roman" w:hAnsi="Calibri" w:cs="Calibri"/>
          <w:color w:val="000000"/>
          <w:sz w:val="24"/>
          <w:szCs w:val="24"/>
          <w:lang w:val="en-US"/>
        </w:rPr>
        <w:t>RMHA is responsible for association-wide fundraising initiatives; therefore, fundraising by individual teams will not be permitted without prior approval from the RMHA Executive. Requests from teams to hold fundraising activities/events for the benefit of the team must be submitted in writing to the Executive for its consideration prior to the event. </w:t>
      </w:r>
    </w:p>
    <w:p w14:paraId="21513045" w14:textId="77777777" w:rsidR="008646EE" w:rsidRPr="008646EE" w:rsidRDefault="008646EE" w:rsidP="008646EE">
      <w:pPr>
        <w:spacing w:after="0" w:line="240" w:lineRule="auto"/>
        <w:rPr>
          <w:rFonts w:ascii="Times New Roman" w:eastAsia="Times New Roman" w:hAnsi="Times New Roman" w:cs="Times New Roman"/>
          <w:sz w:val="24"/>
          <w:szCs w:val="24"/>
          <w:lang w:val="en-US"/>
        </w:rPr>
      </w:pPr>
    </w:p>
    <w:p w14:paraId="42B58A47" w14:textId="77777777" w:rsidR="008646EE" w:rsidRPr="008646EE" w:rsidRDefault="008646EE" w:rsidP="008646EE">
      <w:pPr>
        <w:spacing w:after="200" w:line="240" w:lineRule="auto"/>
        <w:jc w:val="both"/>
        <w:rPr>
          <w:rFonts w:ascii="Times New Roman" w:eastAsia="Times New Roman" w:hAnsi="Times New Roman" w:cs="Times New Roman"/>
          <w:sz w:val="24"/>
          <w:szCs w:val="24"/>
          <w:lang w:val="en-US"/>
        </w:rPr>
      </w:pPr>
      <w:r w:rsidRPr="008646EE">
        <w:rPr>
          <w:rFonts w:ascii="Calibri" w:eastAsia="Times New Roman" w:hAnsi="Calibri" w:cs="Calibri"/>
          <w:b/>
          <w:bCs/>
          <w:i/>
          <w:iCs/>
          <w:color w:val="000000"/>
          <w:sz w:val="28"/>
          <w:szCs w:val="28"/>
          <w:u w:val="single"/>
          <w:lang w:val="en-US"/>
        </w:rPr>
        <w:t>Procedure:</w:t>
      </w:r>
    </w:p>
    <w:p w14:paraId="49869D02" w14:textId="77777777" w:rsidR="008646EE" w:rsidRPr="008646EE" w:rsidRDefault="008646EE" w:rsidP="008646EE">
      <w:pPr>
        <w:spacing w:after="200" w:line="240" w:lineRule="auto"/>
        <w:jc w:val="both"/>
        <w:rPr>
          <w:rFonts w:ascii="Times New Roman" w:eastAsia="Times New Roman" w:hAnsi="Times New Roman" w:cs="Times New Roman"/>
          <w:sz w:val="24"/>
          <w:szCs w:val="24"/>
          <w:lang w:val="en-US"/>
        </w:rPr>
      </w:pPr>
      <w:r w:rsidRPr="008646EE">
        <w:rPr>
          <w:rFonts w:ascii="Calibri" w:eastAsia="Times New Roman" w:hAnsi="Calibri" w:cs="Calibri"/>
          <w:color w:val="000000"/>
          <w:sz w:val="24"/>
          <w:szCs w:val="24"/>
          <w:lang w:val="en-US"/>
        </w:rPr>
        <w:t>All members who have not opted out of participating in fundraising activities and paid the designated fees are expected to participate equitably in RMHA fundraising initiatives. Members who have not paid the designated fee and fail to participate will have the designated fee added to their registration fees for the following year. </w:t>
      </w:r>
    </w:p>
    <w:p w14:paraId="4C42400D" w14:textId="77777777" w:rsidR="008646EE" w:rsidRPr="008646EE" w:rsidRDefault="008646EE" w:rsidP="008646EE">
      <w:pPr>
        <w:spacing w:after="200" w:line="240" w:lineRule="auto"/>
        <w:jc w:val="both"/>
        <w:rPr>
          <w:rFonts w:ascii="Times New Roman" w:eastAsia="Times New Roman" w:hAnsi="Times New Roman" w:cs="Times New Roman"/>
          <w:sz w:val="24"/>
          <w:szCs w:val="24"/>
          <w:lang w:val="en-US"/>
        </w:rPr>
      </w:pPr>
      <w:r w:rsidRPr="008646EE">
        <w:rPr>
          <w:rFonts w:ascii="Calibri" w:eastAsia="Times New Roman" w:hAnsi="Calibri" w:cs="Calibri"/>
          <w:color w:val="000000"/>
          <w:sz w:val="24"/>
          <w:szCs w:val="24"/>
          <w:lang w:val="en-US"/>
        </w:rPr>
        <w:t>All requests for planned team fundraising activities must be submitted to the RMHA Executive and approved prior to the activity taking place, and prior to any related commitments being made by the team. </w:t>
      </w:r>
    </w:p>
    <w:p w14:paraId="24A002E6" w14:textId="77777777" w:rsidR="008646EE" w:rsidRPr="008646EE" w:rsidRDefault="008646EE" w:rsidP="008646EE">
      <w:pPr>
        <w:spacing w:after="200" w:line="240" w:lineRule="auto"/>
        <w:jc w:val="both"/>
        <w:rPr>
          <w:rFonts w:ascii="Times New Roman" w:eastAsia="Times New Roman" w:hAnsi="Times New Roman" w:cs="Times New Roman"/>
          <w:sz w:val="24"/>
          <w:szCs w:val="24"/>
          <w:lang w:val="en-US"/>
        </w:rPr>
      </w:pPr>
      <w:r w:rsidRPr="008646EE">
        <w:rPr>
          <w:rFonts w:ascii="Calibri" w:eastAsia="Times New Roman" w:hAnsi="Calibri" w:cs="Calibri"/>
          <w:color w:val="000000"/>
          <w:sz w:val="24"/>
          <w:szCs w:val="24"/>
          <w:lang w:val="en-US"/>
        </w:rPr>
        <w:lastRenderedPageBreak/>
        <w:t xml:space="preserve">Standing approval is also in place for certain fundraising activities to be conducted </w:t>
      </w:r>
      <w:r w:rsidRPr="008646EE">
        <w:rPr>
          <w:rFonts w:ascii="Calibri" w:eastAsia="Times New Roman" w:hAnsi="Calibri" w:cs="Calibri"/>
          <w:color w:val="000000"/>
          <w:sz w:val="24"/>
          <w:szCs w:val="24"/>
          <w:u w:val="single"/>
          <w:lang w:val="en-US"/>
        </w:rPr>
        <w:t>during</w:t>
      </w:r>
      <w:r w:rsidRPr="008646EE">
        <w:rPr>
          <w:rFonts w:ascii="Calibri" w:eastAsia="Times New Roman" w:hAnsi="Calibri" w:cs="Calibri"/>
          <w:color w:val="000000"/>
          <w:sz w:val="24"/>
          <w:szCs w:val="24"/>
          <w:lang w:val="en-US"/>
        </w:rPr>
        <w:t xml:space="preserve"> (i.e. on the day(s) of) a team’s tournament as follows: </w:t>
      </w:r>
    </w:p>
    <w:p w14:paraId="299BF2AB" w14:textId="77777777" w:rsidR="008646EE" w:rsidRPr="008646EE" w:rsidRDefault="008646EE" w:rsidP="008646EE">
      <w:pPr>
        <w:numPr>
          <w:ilvl w:val="0"/>
          <w:numId w:val="3"/>
        </w:numPr>
        <w:spacing w:after="200" w:line="240" w:lineRule="auto"/>
        <w:jc w:val="both"/>
        <w:textAlignment w:val="baseline"/>
        <w:rPr>
          <w:rFonts w:ascii="Arial" w:eastAsia="Times New Roman" w:hAnsi="Arial" w:cs="Arial"/>
          <w:color w:val="000000"/>
          <w:sz w:val="24"/>
          <w:szCs w:val="24"/>
          <w:lang w:val="en-US"/>
        </w:rPr>
      </w:pPr>
      <w:r w:rsidRPr="008646EE">
        <w:rPr>
          <w:rFonts w:ascii="Calibri" w:eastAsia="Times New Roman" w:hAnsi="Calibri" w:cs="Calibri"/>
          <w:color w:val="000000"/>
          <w:sz w:val="24"/>
          <w:szCs w:val="24"/>
          <w:lang w:val="en-US"/>
        </w:rPr>
        <w:t>Food sales (Kitchen and BBQ), </w:t>
      </w:r>
    </w:p>
    <w:p w14:paraId="5EB95E0A" w14:textId="77777777" w:rsidR="008646EE" w:rsidRPr="008646EE" w:rsidRDefault="008646EE" w:rsidP="008646EE">
      <w:pPr>
        <w:numPr>
          <w:ilvl w:val="0"/>
          <w:numId w:val="3"/>
        </w:numPr>
        <w:spacing w:after="200" w:line="240" w:lineRule="auto"/>
        <w:jc w:val="both"/>
        <w:textAlignment w:val="baseline"/>
        <w:rPr>
          <w:rFonts w:ascii="Arial" w:eastAsia="Times New Roman" w:hAnsi="Arial" w:cs="Arial"/>
          <w:color w:val="000000"/>
          <w:sz w:val="24"/>
          <w:szCs w:val="24"/>
          <w:lang w:val="en-US"/>
        </w:rPr>
      </w:pPr>
      <w:r w:rsidRPr="008646EE">
        <w:rPr>
          <w:rFonts w:ascii="Calibri" w:eastAsia="Times New Roman" w:hAnsi="Calibri" w:cs="Calibri"/>
          <w:color w:val="000000"/>
          <w:sz w:val="24"/>
          <w:szCs w:val="24"/>
          <w:lang w:val="en-US"/>
        </w:rPr>
        <w:t>Raffle (requires lottery license), </w:t>
      </w:r>
    </w:p>
    <w:p w14:paraId="08599042" w14:textId="77777777" w:rsidR="008646EE" w:rsidRPr="008646EE" w:rsidRDefault="008646EE" w:rsidP="008646EE">
      <w:pPr>
        <w:numPr>
          <w:ilvl w:val="0"/>
          <w:numId w:val="3"/>
        </w:numPr>
        <w:spacing w:after="200" w:line="240" w:lineRule="auto"/>
        <w:jc w:val="both"/>
        <w:textAlignment w:val="baseline"/>
        <w:rPr>
          <w:rFonts w:ascii="Arial" w:eastAsia="Times New Roman" w:hAnsi="Arial" w:cs="Arial"/>
          <w:color w:val="000000"/>
          <w:sz w:val="24"/>
          <w:szCs w:val="24"/>
          <w:lang w:val="en-US"/>
        </w:rPr>
      </w:pPr>
      <w:r w:rsidRPr="008646EE">
        <w:rPr>
          <w:rFonts w:ascii="Calibri" w:eastAsia="Times New Roman" w:hAnsi="Calibri" w:cs="Calibri"/>
          <w:color w:val="000000"/>
          <w:sz w:val="24"/>
          <w:szCs w:val="24"/>
          <w:lang w:val="en-US"/>
        </w:rPr>
        <w:t>Prize tables, </w:t>
      </w:r>
    </w:p>
    <w:p w14:paraId="6EFFF9A8" w14:textId="77777777" w:rsidR="008646EE" w:rsidRPr="008646EE" w:rsidRDefault="008646EE" w:rsidP="008646EE">
      <w:pPr>
        <w:numPr>
          <w:ilvl w:val="0"/>
          <w:numId w:val="3"/>
        </w:numPr>
        <w:spacing w:after="200" w:line="240" w:lineRule="auto"/>
        <w:jc w:val="both"/>
        <w:textAlignment w:val="baseline"/>
        <w:rPr>
          <w:rFonts w:ascii="Arial" w:eastAsia="Times New Roman" w:hAnsi="Arial" w:cs="Arial"/>
          <w:color w:val="000000"/>
          <w:sz w:val="24"/>
          <w:szCs w:val="24"/>
          <w:lang w:val="en-US"/>
        </w:rPr>
      </w:pPr>
      <w:r w:rsidRPr="008646EE">
        <w:rPr>
          <w:rFonts w:ascii="Calibri" w:eastAsia="Times New Roman" w:hAnsi="Calibri" w:cs="Calibri"/>
          <w:color w:val="000000"/>
          <w:sz w:val="24"/>
          <w:szCs w:val="24"/>
          <w:lang w:val="en-US"/>
        </w:rPr>
        <w:t>50-50 draws (requires lottery license), </w:t>
      </w:r>
    </w:p>
    <w:p w14:paraId="6D199F62" w14:textId="77777777" w:rsidR="008646EE" w:rsidRPr="008646EE" w:rsidRDefault="008646EE" w:rsidP="008646EE">
      <w:pPr>
        <w:numPr>
          <w:ilvl w:val="0"/>
          <w:numId w:val="3"/>
        </w:numPr>
        <w:spacing w:after="200" w:line="240" w:lineRule="auto"/>
        <w:jc w:val="both"/>
        <w:textAlignment w:val="baseline"/>
        <w:rPr>
          <w:rFonts w:ascii="Arial" w:eastAsia="Times New Roman" w:hAnsi="Arial" w:cs="Arial"/>
          <w:color w:val="000000"/>
          <w:sz w:val="24"/>
          <w:szCs w:val="24"/>
          <w:lang w:val="en-US"/>
        </w:rPr>
      </w:pPr>
      <w:r w:rsidRPr="008646EE">
        <w:rPr>
          <w:rFonts w:ascii="Calibri" w:eastAsia="Times New Roman" w:hAnsi="Calibri" w:cs="Calibri"/>
          <w:color w:val="000000"/>
          <w:sz w:val="24"/>
          <w:szCs w:val="24"/>
          <w:lang w:val="en-US"/>
        </w:rPr>
        <w:t xml:space="preserve">Chuck-a-pucks. </w:t>
      </w:r>
      <w:r w:rsidRPr="008646EE">
        <w:rPr>
          <w:rFonts w:ascii="Calibri" w:eastAsia="Times New Roman" w:hAnsi="Calibri" w:cs="Calibri"/>
          <w:b/>
          <w:bCs/>
          <w:color w:val="000000"/>
          <w:sz w:val="24"/>
          <w:szCs w:val="24"/>
          <w:lang w:val="en-US"/>
        </w:rPr>
        <w:t> </w:t>
      </w:r>
    </w:p>
    <w:p w14:paraId="0B046E76" w14:textId="77777777" w:rsidR="008646EE" w:rsidRPr="008646EE" w:rsidRDefault="008646EE" w:rsidP="008646EE">
      <w:pPr>
        <w:spacing w:after="0" w:line="240" w:lineRule="auto"/>
        <w:rPr>
          <w:rFonts w:ascii="Times New Roman" w:eastAsia="Times New Roman" w:hAnsi="Times New Roman" w:cs="Times New Roman"/>
          <w:sz w:val="24"/>
          <w:szCs w:val="24"/>
          <w:lang w:val="en-US"/>
        </w:rPr>
      </w:pPr>
    </w:p>
    <w:p w14:paraId="5A576EFD" w14:textId="77777777" w:rsidR="00500CCD" w:rsidRPr="002C385F" w:rsidRDefault="00500CCD" w:rsidP="00500CCD">
      <w:pPr>
        <w:pStyle w:val="NoSpacing"/>
        <w:rPr>
          <w:rFonts w:ascii="Times New Roman" w:hAnsi="Times New Roman" w:cs="Times New Roman"/>
        </w:rPr>
      </w:pPr>
      <w:r w:rsidRPr="002C385F">
        <w:rPr>
          <w:rFonts w:ascii="Times New Roman" w:hAnsi="Times New Roman" w:cs="Times New Roman"/>
        </w:rPr>
        <w:t xml:space="preserve"> </w:t>
      </w:r>
    </w:p>
    <w:p w14:paraId="6749CC8E" w14:textId="77777777" w:rsidR="00CD79D3" w:rsidRPr="008C61D4" w:rsidRDefault="00CD79D3" w:rsidP="00500CCD">
      <w:pPr>
        <w:pStyle w:val="NoSpacing"/>
      </w:pPr>
    </w:p>
    <w:sectPr w:rsidR="00CD79D3" w:rsidRPr="008C61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92C3" w14:textId="77777777" w:rsidR="00517C6C" w:rsidRDefault="00517C6C" w:rsidP="008C61D4">
      <w:pPr>
        <w:spacing w:after="0" w:line="240" w:lineRule="auto"/>
      </w:pPr>
      <w:r>
        <w:separator/>
      </w:r>
    </w:p>
  </w:endnote>
  <w:endnote w:type="continuationSeparator" w:id="0">
    <w:p w14:paraId="4EF7E56E" w14:textId="77777777" w:rsidR="00517C6C" w:rsidRDefault="00517C6C" w:rsidP="008C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AECA" w14:textId="77777777" w:rsidR="00891CCC" w:rsidRDefault="00891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A5F0" w14:textId="2AFCC902" w:rsidR="00891CCC" w:rsidRDefault="00B02F6C">
    <w:pPr>
      <w:pStyle w:val="Footer"/>
    </w:pPr>
    <w:r>
      <w:t xml:space="preserve">RMHA Fundraising Policy November 2023 </w:t>
    </w:r>
  </w:p>
  <w:p w14:paraId="6538A333" w14:textId="77777777" w:rsidR="00891CCC" w:rsidRDefault="00891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4451" w14:textId="77777777" w:rsidR="00891CCC" w:rsidRDefault="00891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F72E" w14:textId="77777777" w:rsidR="00517C6C" w:rsidRDefault="00517C6C" w:rsidP="008C61D4">
      <w:pPr>
        <w:spacing w:after="0" w:line="240" w:lineRule="auto"/>
      </w:pPr>
      <w:r>
        <w:separator/>
      </w:r>
    </w:p>
  </w:footnote>
  <w:footnote w:type="continuationSeparator" w:id="0">
    <w:p w14:paraId="34F45E11" w14:textId="77777777" w:rsidR="00517C6C" w:rsidRDefault="00517C6C" w:rsidP="008C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9D7E" w14:textId="77777777" w:rsidR="00891CCC" w:rsidRDefault="00891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FF21" w14:textId="77777777" w:rsidR="008C61D4" w:rsidRDefault="008C61D4" w:rsidP="008C61D4">
    <w:pPr>
      <w:pStyle w:val="Header"/>
      <w:jc w:val="center"/>
    </w:pPr>
    <w:r>
      <w:rPr>
        <w:noProof/>
      </w:rPr>
      <w:drawing>
        <wp:inline distT="0" distB="0" distL="0" distR="0" wp14:anchorId="50AA6949" wp14:editId="3495EF96">
          <wp:extent cx="1185545" cy="1120140"/>
          <wp:effectExtent l="0" t="0" r="0" b="3810"/>
          <wp:docPr id="4" name="Picture 4" descr="C:\Users\Kyle_Schroeder\AppData\Local\Microsoft\Windows\INetCache\Content.MSO\42B451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yle_Schroeder\AppData\Local\Microsoft\Windows\INetCache\Content.MSO\42B4511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903" cy="1153547"/>
                  </a:xfrm>
                  <a:prstGeom prst="rect">
                    <a:avLst/>
                  </a:prstGeom>
                  <a:noFill/>
                  <a:ln>
                    <a:noFill/>
                  </a:ln>
                </pic:spPr>
              </pic:pic>
            </a:graphicData>
          </a:graphic>
        </wp:inline>
      </w:drawing>
    </w:r>
    <w:r>
      <w:rPr>
        <w:rFonts w:ascii="Calibri" w:hAnsi="Calibri" w:cs="Calibri"/>
        <w:noProof/>
        <w:color w:val="000000"/>
        <w:shd w:val="clear" w:color="auto" w:fill="FFFFFF"/>
        <w:lang w:val="en-US"/>
      </w:rPr>
      <w:drawing>
        <wp:inline distT="0" distB="0" distL="0" distR="0" wp14:anchorId="77150DB4" wp14:editId="7DBBA5C7">
          <wp:extent cx="3589020" cy="1219200"/>
          <wp:effectExtent l="0" t="0" r="0" b="0"/>
          <wp:docPr id="6" name="Picture 6" descr="C:\Users\Kyle_Schroeder\AppData\Local\Microsoft\Windows\INetCache\Content.MSO\2F4837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yle_Schroeder\AppData\Local\Microsoft\Windows\INetCache\Content.MSO\2F4837BD.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28613" cy="1266620"/>
                  </a:xfrm>
                  <a:prstGeom prst="rect">
                    <a:avLst/>
                  </a:prstGeom>
                  <a:noFill/>
                  <a:ln>
                    <a:noFill/>
                  </a:ln>
                </pic:spPr>
              </pic:pic>
            </a:graphicData>
          </a:graphic>
        </wp:inline>
      </w:drawing>
    </w:r>
    <w:r>
      <w:rPr>
        <w:rFonts w:ascii="Calibri" w:hAnsi="Calibri" w:cs="Calibri"/>
        <w:color w:val="000000"/>
        <w:shd w:val="clear" w:color="auto" w:fill="FFFFFF"/>
        <w:lang w:val="en-U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8CF1" w14:textId="77777777" w:rsidR="00891CCC" w:rsidRDefault="00891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D79AF"/>
    <w:multiLevelType w:val="hybridMultilevel"/>
    <w:tmpl w:val="FAF63854"/>
    <w:lvl w:ilvl="0" w:tplc="74183950">
      <w:start w:val="1"/>
      <w:numFmt w:val="bullet"/>
      <w:lvlText w:val="•"/>
      <w:lvlJc w:val="left"/>
      <w:pPr>
        <w:ind w:left="2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18743C">
      <w:start w:val="1"/>
      <w:numFmt w:val="bullet"/>
      <w:lvlText w:val="o"/>
      <w:lvlJc w:val="left"/>
      <w:pPr>
        <w:ind w:left="3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B22E18">
      <w:start w:val="1"/>
      <w:numFmt w:val="bullet"/>
      <w:lvlText w:val="▪"/>
      <w:lvlJc w:val="left"/>
      <w:pPr>
        <w:ind w:left="3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868DB2">
      <w:start w:val="1"/>
      <w:numFmt w:val="bullet"/>
      <w:lvlText w:val="•"/>
      <w:lvlJc w:val="left"/>
      <w:pPr>
        <w:ind w:left="4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48F14E">
      <w:start w:val="1"/>
      <w:numFmt w:val="bullet"/>
      <w:lvlText w:val="o"/>
      <w:lvlJc w:val="left"/>
      <w:pPr>
        <w:ind w:left="5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AAA2D4">
      <w:start w:val="1"/>
      <w:numFmt w:val="bullet"/>
      <w:lvlText w:val="▪"/>
      <w:lvlJc w:val="left"/>
      <w:pPr>
        <w:ind w:left="6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78A052">
      <w:start w:val="1"/>
      <w:numFmt w:val="bullet"/>
      <w:lvlText w:val="•"/>
      <w:lvlJc w:val="left"/>
      <w:pPr>
        <w:ind w:left="6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ADE16">
      <w:start w:val="1"/>
      <w:numFmt w:val="bullet"/>
      <w:lvlText w:val="o"/>
      <w:lvlJc w:val="left"/>
      <w:pPr>
        <w:ind w:left="7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1EEC80">
      <w:start w:val="1"/>
      <w:numFmt w:val="bullet"/>
      <w:lvlText w:val="▪"/>
      <w:lvlJc w:val="left"/>
      <w:pPr>
        <w:ind w:left="8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C779AC"/>
    <w:multiLevelType w:val="multilevel"/>
    <w:tmpl w:val="26C4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76CD2"/>
    <w:multiLevelType w:val="hybridMultilevel"/>
    <w:tmpl w:val="0748B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1851494">
    <w:abstractNumId w:val="0"/>
  </w:num>
  <w:num w:numId="2" w16cid:durableId="355467515">
    <w:abstractNumId w:val="2"/>
  </w:num>
  <w:num w:numId="3" w16cid:durableId="1122697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D4"/>
    <w:rsid w:val="002C385F"/>
    <w:rsid w:val="003D14A4"/>
    <w:rsid w:val="00500CCD"/>
    <w:rsid w:val="00517C6C"/>
    <w:rsid w:val="008646EE"/>
    <w:rsid w:val="00891CCC"/>
    <w:rsid w:val="008C61D4"/>
    <w:rsid w:val="00960469"/>
    <w:rsid w:val="00B02F6C"/>
    <w:rsid w:val="00B645DA"/>
    <w:rsid w:val="00CD79D3"/>
    <w:rsid w:val="00E31F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6D42FE"/>
  <w15:chartTrackingRefBased/>
  <w15:docId w15:val="{95940FC5-86C9-4F3A-AC9F-5F9BAECA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1D4"/>
  </w:style>
  <w:style w:type="paragraph" w:styleId="Footer">
    <w:name w:val="footer"/>
    <w:basedOn w:val="Normal"/>
    <w:link w:val="FooterChar"/>
    <w:uiPriority w:val="99"/>
    <w:unhideWhenUsed/>
    <w:rsid w:val="008C6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1D4"/>
  </w:style>
  <w:style w:type="paragraph" w:styleId="NoSpacing">
    <w:name w:val="No Spacing"/>
    <w:uiPriority w:val="1"/>
    <w:qFormat/>
    <w:rsid w:val="008C61D4"/>
    <w:pPr>
      <w:spacing w:after="0" w:line="240" w:lineRule="auto"/>
    </w:pPr>
  </w:style>
  <w:style w:type="character" w:customStyle="1" w:styleId="Heading1Char">
    <w:name w:val="Heading 1 Char"/>
    <w:basedOn w:val="DefaultParagraphFont"/>
    <w:link w:val="Heading1"/>
    <w:uiPriority w:val="9"/>
    <w:rsid w:val="00500CC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2C3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EA452-B9CE-449B-88D5-EA755234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Kyle</dc:creator>
  <cp:keywords/>
  <dc:description/>
  <cp:lastModifiedBy>Kasia Maves</cp:lastModifiedBy>
  <cp:revision>4</cp:revision>
  <dcterms:created xsi:type="dcterms:W3CDTF">2023-10-30T19:49:00Z</dcterms:created>
  <dcterms:modified xsi:type="dcterms:W3CDTF">2023-11-22T03:34:00Z</dcterms:modified>
</cp:coreProperties>
</file>